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dgardoc.xml.htm"/>
      <w:bookmarkStart w:id="1" w:name="ksedgar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LOEB GARY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1020 KIFER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SUNNYVALE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94086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INTUITIVE SURGICAL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ISRG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&amp; Chief Legal and Complian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45"/>
        <w:gridCol w:w="453"/>
        <w:gridCol w:w="841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2,612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7,932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1,296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423.96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6,636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60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10/10/2026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2,612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10/10/2026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2,612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RSUs vest 25% per year over a four year period, commencing on the first anniversary of the grant date. RSUs convert into common stock on the vest date on a one-for-one basis. 25% of the shares have been released and a portion of the shares were held back to cover the tax withholding obligations. The net shares were deposited into the holders account.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RSU granted represents a contingent right to receive one share of Intuitive Surgical common stock. The grant vests 25% on the first anniversary of the date of grant and annually thereafter, over a four year period.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Stephanie Lim-Ignacio For: Loeb, Gary Howard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10/13/2026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61733" TargetMode="External"/><Relationship Id="rId5" Type="http://schemas.openxmlformats.org/officeDocument/2006/relationships/hyperlink" Target="http://www.sec.gov/cgi-bin/browse-edgar?action=getcompany&amp;CIK=000103526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693</Words>
  <Characters>3672</Characters>
  <CharactersWithSpaces>4277</CharactersWithSpaces>
  <Paragraphs>116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